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5EACD297" w14:textId="1B68A4D1" w:rsidR="00576947" w:rsidRDefault="00576947" w:rsidP="00054840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  <w:r w:rsidRPr="009B5A58">
        <w:t>Numer rachunku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54840" w:rsidRPr="002B7F2A" w14:paraId="687CA611" w14:textId="77777777" w:rsidTr="00071D32">
        <w:trPr>
          <w:trHeight w:val="401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19C8B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AF3FBC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CF4D3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0B92136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BF74C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00EA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F6D6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424043D0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654C2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7A47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5F3E5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A8D02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</w:tcPr>
          <w:p w14:paraId="7A704018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7C5AA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E8CB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D8C03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27E2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41F3C5F2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D9B46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A9568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2B3D7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9F8BB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0507C533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4EFE7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2822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465EB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6EE75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</w:tcPr>
          <w:p w14:paraId="5A86C6F5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B97A4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56B56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865A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08CE" w14:textId="77777777" w:rsidR="00054840" w:rsidRPr="002B7F2A" w:rsidRDefault="00054840" w:rsidP="00071D32">
            <w:pPr>
              <w:keepNext/>
              <w:keepLines/>
              <w:spacing w:after="0"/>
              <w:rPr>
                <w:rFonts w:eastAsia="Arial" w:cstheme="majorBidi"/>
                <w:color w:val="000000" w:themeColor="text1"/>
              </w:rPr>
            </w:pPr>
          </w:p>
        </w:tc>
      </w:tr>
    </w:tbl>
    <w:p w14:paraId="108A34A0" w14:textId="77777777" w:rsidR="00054840" w:rsidRPr="009B5A58" w:rsidRDefault="00054840" w:rsidP="00576947">
      <w:pPr>
        <w:pStyle w:val="Etykietapola-styl3"/>
      </w:pPr>
    </w:p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późn.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dd / mm / rrrr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B7137D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B7137D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późn.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dd / mm / rrrr</w:t>
      </w:r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lastRenderedPageBreak/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6F6B016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B3BF88D" w14:textId="49AFC3C8" w:rsidR="00576947" w:rsidRPr="00054840" w:rsidRDefault="00576947" w:rsidP="00054840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dd / mm / rrrr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054840" w:rsidRDefault="00576947" w:rsidP="00576947">
      <w:pPr>
        <w:pStyle w:val="Etykietadodatkowa-przypisinformacyjny-styl4"/>
        <w:rPr>
          <w:rStyle w:val="Wyrnieniedelikatne"/>
          <w:i/>
          <w:iCs/>
          <w:sz w:val="16"/>
          <w:szCs w:val="16"/>
        </w:rPr>
      </w:pPr>
      <w:r w:rsidRPr="00054840">
        <w:rPr>
          <w:rStyle w:val="Wyrnieniedelikatne"/>
          <w:i/>
          <w:sz w:val="16"/>
          <w:szCs w:val="16"/>
        </w:rPr>
        <w:t>W oświadczeniu wpis</w:t>
      </w:r>
      <w:r w:rsidRPr="00054840">
        <w:rPr>
          <w:rStyle w:val="Wyrnieniedelikatne"/>
          <w:sz w:val="16"/>
          <w:szCs w:val="16"/>
        </w:rPr>
        <w:t>z</w:t>
      </w:r>
      <w:r w:rsidRPr="00054840">
        <w:rPr>
          <w:rStyle w:val="Wyrnieniedelikatne"/>
          <w:i/>
          <w:sz w:val="16"/>
          <w:szCs w:val="16"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 w:rsidRPr="00054840">
        <w:rPr>
          <w:rStyle w:val="Wyrnieniedelikatne"/>
          <w:sz w:val="16"/>
          <w:szCs w:val="16"/>
        </w:rPr>
        <w:t> </w:t>
      </w:r>
      <w:r w:rsidRPr="00054840">
        <w:rPr>
          <w:rStyle w:val="Wyrnieniedelikatne"/>
          <w:i/>
          <w:sz w:val="16"/>
          <w:szCs w:val="16"/>
        </w:rPr>
        <w:t>2020 r. poz. 111, z późn. zm.) nie podlegają opodatkowaniu podatkiem dochodowym od osób fizycznych:</w:t>
      </w:r>
    </w:p>
    <w:p w14:paraId="3A9D2B08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renty określone w przepisach o zaopatrzeniu inwalidów wojennych i wojskowych oraz ich rodzin, </w:t>
      </w:r>
    </w:p>
    <w:p w14:paraId="3A889305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renty wypłacone osobom represjonowanym i członkom ich rodzin, przyznane na zasadach określonych w przepisach o zaopatrzeniu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inwalidów wojennych i wojskowych oraz ich rodzin, </w:t>
      </w:r>
    </w:p>
    <w:p w14:paraId="247CFABD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 xml:space="preserve">świadczenie pieniężne, dodatek kompensacyjny oraz ryczałt energetyczny określone w przepisach o świadczeniu pieniężnym 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 xml:space="preserve">dodatek kombatancki, ryczałt energetyczny i dodatek kompensacyjny określone w przepisach o kombatantach oraz niektórych 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osobach będących ofiarami represji wojennych i okresu powojennego, </w:t>
      </w:r>
    </w:p>
    <w:p w14:paraId="03136B6C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świadczenie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>ryczałt energetyczny, emerytury i renty otrzymywane przez osoby, które utraciły wzrok w wyniku działań wojennych w latach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1939–1945 lub eksplozji pozostałych po tej wojnie niewypałów i niewybuchów, </w:t>
      </w:r>
    </w:p>
    <w:p w14:paraId="5302F9B4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renty inwalidzkie z tytułu inwalidztwa wojennego, kwoty zaopatrzenia otrzymywane przez ofiary wojny oraz członków ich rodzin,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zasiłki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chorobowe określone w przepisach o ubezpieczeniu społecznym rolników oraz w przepisach o systemie ubezpieczeń społecznych, </w:t>
      </w:r>
    </w:p>
    <w:p w14:paraId="0BE3C4C0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środki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należności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lastRenderedPageBreak/>
        <w:t xml:space="preserve">kraju ustalonych dla pracowników zatrudnionych w państwowych lub samorządowych jednostkach sfery budżetowej na podstawie ustawy z dnia 26 czerwca 1974 r. – Kodeks pracy (Dz. U. z 2020 r. poz. 1320, z późn. zm.), </w:t>
      </w:r>
    </w:p>
    <w:p w14:paraId="5B77324D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należności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należności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dochody członków rolniczych spółdzielni produkcyjnych z tytułu członkostwa w rolniczej spółdzielni produkcyjnej, pomniejszone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o składki na ubezpieczenia społeczne, </w:t>
      </w:r>
    </w:p>
    <w:p w14:paraId="12E07AFD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alimenty </w:t>
      </w: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na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rzecz dzieci, </w:t>
      </w:r>
    </w:p>
    <w:p w14:paraId="48DAFFDF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stypendia </w:t>
      </w: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doktoranckie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przyznane na podstawie art. 209 ust. 1 i 7 ustawy z dnia 20 lipca 2018 r. – Prawo o szkolnictwie wyższym i nauce (Dz. U. z 2021 r. poz. 478, z późn. zm.), a także – zgodnie z art. 336 pkt 1 ustawy z dnia 3 lipca 2018 r. – Przepisy wprowadzające ustawę – Prawo o szkolnictwie wyższym i nauce (Dz. U. poz. 1669, z późn. zm.) – dotychczasowe stypendia doktoranckie określone w art. 200 ustawy z dnia 27 lipca 2005 r. – Prawo o szkolnictwie wyższym (Dz. U. z 2017 r. </w:t>
      </w: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>poz. 2183, z późn. zm.), stypendia sportowe przyznane na podstawie ustawy z dnia 25 czerwca 2010 r. o sporcie (Dz. U. z 2020 r.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poz. 1133, z późn. zm.) oraz inne stypendia o charakterze socjalnym przyznane uczniom lub studentom,</w:t>
      </w:r>
    </w:p>
    <w:p w14:paraId="1496DE30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>kwoty diet nieopodatkowane podatkiem dochodowym od osób fizycznych, otrzymywane przez osoby wykonujące czynności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związane z pełnieniem obowiązków społecznych i obywatelskich, </w:t>
      </w:r>
    </w:p>
    <w:p w14:paraId="7AD6988C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należności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dodatki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dochody uzyskane z działalności gospodarczej prowadzonej na podstawie zezwolenia na terenie specjalnej strefy ekonomicznej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określonej w przepisach o specjalnych strefach ekonomicznych, </w:t>
      </w:r>
    </w:p>
    <w:p w14:paraId="2803C713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ekwiwalenty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ekwiwalenty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świadczenia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określone w przepisach o wykonywaniu mandatu posła i senatora, </w:t>
      </w:r>
    </w:p>
    <w:p w14:paraId="1FF75536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dochody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uzyskane z gospodarstwa rolnego, </w:t>
      </w:r>
    </w:p>
    <w:p w14:paraId="6E8CB8AE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dochody uzyskiwane za granicą Rzeczypospolitej Polskiej, pomniejszone odpowiednio o zapłacone za granicą Rzeczypospolitej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</w:t>
      </w: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 xml:space="preserve">Polskiej: podatek dochodowy oraz składki na obowiązkowe ubezpieczenie społeczne i obowiązkowe ubezpieczenie zdrowotne, </w:t>
      </w:r>
    </w:p>
    <w:p w14:paraId="2795D0AA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>renty określone w przepisach o wspieraniu rozwoju obszarów wiejskich ze środków pochodzących z Sekcji Gwarancji E</w:t>
      </w: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 xml:space="preserve">uropejskiego Funduszu Orientacji i Gwarancji Rolnej oraz w przepisach o wspieraniu rozwoju obszarów wiejskich z udziałem 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środków Europejskiego Funduszu Rolnego na rzecz Rozwoju Obszarów Wiejskich, </w:t>
      </w:r>
    </w:p>
    <w:p w14:paraId="3972E180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świadczenia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wypłacane w przypadku bezskuteczności egzekucji alimentów, </w:t>
      </w:r>
    </w:p>
    <w:p w14:paraId="7F84A010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054840">
        <w:rPr>
          <w:rFonts w:eastAsia="Arial" w:cs="Times New Roman"/>
          <w:i w:val="0"/>
          <w:color w:val="000000"/>
          <w:spacing w:val="-2"/>
          <w:sz w:val="16"/>
          <w:szCs w:val="16"/>
        </w:rPr>
        <w:t>Przepisy wprowadzające ustawę – Prawo o szkolnictwie wyższym i nauce – dotychczasową pomoc materialną określoną w art. 173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świadczenie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świadczenie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rodzicielskie, </w:t>
      </w:r>
    </w:p>
    <w:p w14:paraId="0BABB446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zasiłek macierzyński, o którym mowa w przepisach o ubezpieczeniu społecznym rolników, </w:t>
      </w:r>
    </w:p>
    <w:p w14:paraId="552F8DDC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pacing w:val="-4"/>
          <w:sz w:val="16"/>
          <w:szCs w:val="16"/>
        </w:rPr>
        <w:t>stypendia</w:t>
      </w:r>
      <w:r w:rsidRPr="00054840">
        <w:rPr>
          <w:rFonts w:eastAsia="Arial" w:cs="Times New Roman"/>
          <w:i w:val="0"/>
          <w:color w:val="000000"/>
          <w:sz w:val="16"/>
          <w:szCs w:val="16"/>
        </w:rPr>
        <w:t xml:space="preserve"> dla bezrobotnych finansowane ze środków Unii Europejskiej lub Funduszu Pracy, niezależnie od podmiotu, który je wypłaca</w:t>
      </w:r>
      <w:bookmarkStart w:id="0" w:name="_Hlk92095158"/>
      <w:r w:rsidRPr="00054840">
        <w:rPr>
          <w:rFonts w:eastAsia="Arial" w:cs="Times New Roman"/>
          <w:i w:val="0"/>
          <w:color w:val="000000"/>
          <w:sz w:val="16"/>
          <w:szCs w:val="16"/>
        </w:rPr>
        <w:t>,</w:t>
      </w:r>
    </w:p>
    <w:p w14:paraId="1C62261D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 macierzyństwa, pomniejszone o składki na ubezpieczenia społeczne oraz składki na ubezpieczenia zdrowotne,</w:t>
      </w:r>
    </w:p>
    <w:p w14:paraId="11A2F113" w14:textId="77777777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>przychody wolne od podatku dochodowego na podstawie art. 21 ust. 1 pkt 152 lit. c, pkt 153 lit. c oraz pkt 154 ustawy z dnia 26 lipca 1991 r. o podatku dochodowym od osób fizycznych z pozarolniczej działalności gospodarczej opodatkowanych według zasad określonych w art. 27 i art. 30c tej ustawy, pomniejszone o składki na ubezpieczenia społeczne oraz składki na ubezpieczenia zdrowotne,</w:t>
      </w:r>
    </w:p>
    <w:p w14:paraId="6C89C410" w14:textId="12FB134E" w:rsidR="00576947" w:rsidRPr="00054840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16"/>
          <w:szCs w:val="16"/>
        </w:rPr>
        <w:sectPr w:rsidR="00576947" w:rsidRPr="00054840" w:rsidSect="00054840">
          <w:headerReference w:type="first" r:id="rId9"/>
          <w:pgSz w:w="11906" w:h="16838"/>
          <w:pgMar w:top="1417" w:right="849" w:bottom="1417" w:left="1417" w:header="708" w:footer="708" w:gutter="0"/>
          <w:cols w:space="708"/>
          <w:titlePg/>
          <w:docGrid w:linePitch="360"/>
        </w:sectPr>
      </w:pPr>
      <w:r w:rsidRPr="00054840">
        <w:rPr>
          <w:rFonts w:eastAsia="Arial" w:cs="Times New Roman"/>
          <w:i w:val="0"/>
          <w:color w:val="000000"/>
          <w:sz w:val="16"/>
          <w:szCs w:val="16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0"/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dd / mm / rrrr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0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dd / mm / rrrr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D3443">
            <w:pPr>
              <w:pStyle w:val="Etykietanagwkainstrukcji-styl5"/>
              <w:spacing w:before="80" w:after="80" w:line="257" w:lineRule="auto"/>
              <w:ind w:right="760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dd / mm / rrrr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CC74" w14:textId="77777777" w:rsidR="004A0649" w:rsidRDefault="004A0649">
      <w:pPr>
        <w:spacing w:before="0" w:after="0" w:line="240" w:lineRule="auto"/>
      </w:pPr>
      <w:r>
        <w:separator/>
      </w:r>
    </w:p>
  </w:endnote>
  <w:endnote w:type="continuationSeparator" w:id="0">
    <w:p w14:paraId="3EFCF421" w14:textId="77777777" w:rsidR="004A0649" w:rsidRDefault="004A06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EC6B" w14:textId="77777777" w:rsidR="004A0649" w:rsidRDefault="004A0649">
      <w:pPr>
        <w:spacing w:before="0" w:after="0" w:line="240" w:lineRule="auto"/>
      </w:pPr>
      <w:r>
        <w:separator/>
      </w:r>
    </w:p>
  </w:footnote>
  <w:footnote w:type="continuationSeparator" w:id="0">
    <w:p w14:paraId="4AB7F922" w14:textId="77777777" w:rsidR="004A0649" w:rsidRDefault="004A064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8612" w14:textId="77777777" w:rsidR="004879B8" w:rsidRDefault="00000000">
    <w:pPr>
      <w:pStyle w:val="Nagwek"/>
    </w:pPr>
  </w:p>
  <w:p w14:paraId="1E5E0867" w14:textId="77777777" w:rsidR="004879B8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31AF6" w14:textId="77777777" w:rsidR="00D41B1F" w:rsidRPr="000F01D4" w:rsidRDefault="00000000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DBC5" w14:textId="77777777" w:rsidR="00445802" w:rsidRPr="00415CEA" w:rsidRDefault="00000000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000000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5AA8" w14:textId="77777777" w:rsidR="00445802" w:rsidRPr="00462F28" w:rsidRDefault="00000000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000000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6887" w14:textId="77777777" w:rsidR="009C243B" w:rsidRPr="002F3F50" w:rsidRDefault="00000000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BFFC" w14:textId="77777777" w:rsidR="007B4857" w:rsidRPr="001D1E2F" w:rsidRDefault="00000000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DEE"/>
    <w:multiLevelType w:val="multilevel"/>
    <w:tmpl w:val="E41C8828"/>
    <w:numStyleLink w:val="Styl1"/>
  </w:abstractNum>
  <w:abstractNum w:abstractNumId="1" w15:restartNumberingAfterBreak="0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 w15:restartNumberingAfterBreak="0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7CDD0C75"/>
    <w:multiLevelType w:val="multilevel"/>
    <w:tmpl w:val="E41C8828"/>
    <w:numStyleLink w:val="Styl1"/>
  </w:abstractNum>
  <w:num w:numId="1" w16cid:durableId="1799299115">
    <w:abstractNumId w:val="3"/>
  </w:num>
  <w:num w:numId="2" w16cid:durableId="1397780106">
    <w:abstractNumId w:val="10"/>
  </w:num>
  <w:num w:numId="3" w16cid:durableId="1660693287">
    <w:abstractNumId w:val="7"/>
  </w:num>
  <w:num w:numId="4" w16cid:durableId="525482187">
    <w:abstractNumId w:val="1"/>
  </w:num>
  <w:num w:numId="5" w16cid:durableId="2064522626">
    <w:abstractNumId w:val="6"/>
  </w:num>
  <w:num w:numId="6" w16cid:durableId="1014838700">
    <w:abstractNumId w:val="14"/>
  </w:num>
  <w:num w:numId="7" w16cid:durableId="1226454952">
    <w:abstractNumId w:val="17"/>
  </w:num>
  <w:num w:numId="8" w16cid:durableId="1514303954">
    <w:abstractNumId w:val="22"/>
  </w:num>
  <w:num w:numId="9" w16cid:durableId="1261718103">
    <w:abstractNumId w:val="9"/>
  </w:num>
  <w:num w:numId="10" w16cid:durableId="809175876">
    <w:abstractNumId w:val="4"/>
  </w:num>
  <w:num w:numId="11" w16cid:durableId="1662730103">
    <w:abstractNumId w:val="0"/>
  </w:num>
  <w:num w:numId="12" w16cid:durableId="1796870526">
    <w:abstractNumId w:val="12"/>
  </w:num>
  <w:num w:numId="13" w16cid:durableId="939146079">
    <w:abstractNumId w:val="2"/>
  </w:num>
  <w:num w:numId="14" w16cid:durableId="1820726093">
    <w:abstractNumId w:val="11"/>
  </w:num>
  <w:num w:numId="15" w16cid:durableId="916086732">
    <w:abstractNumId w:val="13"/>
  </w:num>
  <w:num w:numId="16" w16cid:durableId="1720475734">
    <w:abstractNumId w:val="5"/>
  </w:num>
  <w:num w:numId="17" w16cid:durableId="471485087">
    <w:abstractNumId w:val="18"/>
  </w:num>
  <w:num w:numId="18" w16cid:durableId="66538312">
    <w:abstractNumId w:val="16"/>
  </w:num>
  <w:num w:numId="19" w16cid:durableId="1242521414">
    <w:abstractNumId w:val="21"/>
  </w:num>
  <w:num w:numId="20" w16cid:durableId="1203446551">
    <w:abstractNumId w:val="19"/>
  </w:num>
  <w:num w:numId="21" w16cid:durableId="1668048573">
    <w:abstractNumId w:val="8"/>
  </w:num>
  <w:num w:numId="22" w16cid:durableId="587621227">
    <w:abstractNumId w:val="20"/>
  </w:num>
  <w:num w:numId="23" w16cid:durableId="14187917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947"/>
    <w:rsid w:val="00054840"/>
    <w:rsid w:val="004A0649"/>
    <w:rsid w:val="00576947"/>
    <w:rsid w:val="005E08E0"/>
    <w:rsid w:val="006D1E58"/>
    <w:rsid w:val="007A69B8"/>
    <w:rsid w:val="00A0062F"/>
    <w:rsid w:val="00B7137D"/>
    <w:rsid w:val="00D1317C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  <w15:chartTrackingRefBased/>
  <w15:docId w15:val="{05E84E43-0EA3-4829-84F1-86019AE5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3429</Words>
  <Characters>20574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Office365 pula1</cp:lastModifiedBy>
  <cp:revision>2</cp:revision>
  <dcterms:created xsi:type="dcterms:W3CDTF">2023-01-20T13:06:00Z</dcterms:created>
  <dcterms:modified xsi:type="dcterms:W3CDTF">2023-01-20T13:06:00Z</dcterms:modified>
</cp:coreProperties>
</file>