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6A28" w:rsidRDefault="00FD5CAD" w:rsidP="007F6A28">
      <w:pPr>
        <w:spacing w:after="56" w:line="259" w:lineRule="auto"/>
        <w:ind w:left="284" w:right="0" w:firstLine="0"/>
        <w:jc w:val="left"/>
      </w:pPr>
      <w:r>
        <w:rPr>
          <w:rFonts w:ascii="Book Antiqua" w:eastAsia="Book Antiqua" w:hAnsi="Book Antiqua" w:cs="Book Antiqua"/>
          <w:b/>
          <w:sz w:val="32"/>
        </w:rPr>
        <w:t xml:space="preserve">  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1667"/>
        <w:gridCol w:w="6946"/>
        <w:gridCol w:w="2020"/>
      </w:tblGrid>
      <w:tr w:rsidR="0031132F" w:rsidTr="0031132F">
        <w:trPr>
          <w:trHeight w:val="1526"/>
        </w:trPr>
        <w:tc>
          <w:tcPr>
            <w:tcW w:w="1667" w:type="dxa"/>
          </w:tcPr>
          <w:p w:rsidR="0031132F" w:rsidRDefault="0031132F" w:rsidP="0031132F">
            <w:pPr>
              <w:ind w:left="0"/>
            </w:pPr>
            <w:r>
              <w:rPr>
                <w:noProof/>
              </w:rPr>
              <w:drawing>
                <wp:inline distT="0" distB="0" distL="0" distR="0" wp14:anchorId="78B4C923" wp14:editId="4A952AF7">
                  <wp:extent cx="858557" cy="9334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rb_300dpi_rgb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038" cy="9339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6" w:type="dxa"/>
            <w:vAlign w:val="center"/>
          </w:tcPr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KARTA INFORMACYJNA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URZĄD MIEJSKI W URZĘDOWIE</w:t>
            </w:r>
          </w:p>
          <w:p w:rsidR="0031132F" w:rsidRPr="0031132F" w:rsidRDefault="0031132F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b/>
                <w:sz w:val="24"/>
                <w:szCs w:val="24"/>
              </w:rPr>
              <w:t>Stanowisko pracy do spraw ewidencji ludności i dowodów osobistych</w:t>
            </w:r>
          </w:p>
        </w:tc>
        <w:tc>
          <w:tcPr>
            <w:tcW w:w="2020" w:type="dxa"/>
            <w:vAlign w:val="center"/>
          </w:tcPr>
          <w:p w:rsidR="0031132F" w:rsidRPr="0031132F" w:rsidRDefault="008E7F95" w:rsidP="0031132F">
            <w:pPr>
              <w:spacing w:after="56" w:line="259" w:lineRule="auto"/>
              <w:ind w:left="0"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SO</w:t>
            </w:r>
            <w:r w:rsidR="00E71FAF">
              <w:rPr>
                <w:rFonts w:ascii="Times New Roman" w:hAnsi="Times New Roman" w:cs="Times New Roman"/>
                <w:b/>
                <w:sz w:val="24"/>
                <w:szCs w:val="24"/>
              </w:rPr>
              <w:t>/05</w:t>
            </w:r>
          </w:p>
        </w:tc>
      </w:tr>
      <w:tr w:rsidR="0031132F" w:rsidTr="0031132F">
        <w:trPr>
          <w:trHeight w:val="713"/>
        </w:trPr>
        <w:tc>
          <w:tcPr>
            <w:tcW w:w="10633" w:type="dxa"/>
            <w:gridSpan w:val="3"/>
            <w:vAlign w:val="center"/>
          </w:tcPr>
          <w:p w:rsidR="0031132F" w:rsidRPr="0031132F" w:rsidRDefault="0031132F" w:rsidP="0031132F">
            <w:pPr>
              <w:pStyle w:val="Nagwek1"/>
              <w:ind w:left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1132F">
              <w:rPr>
                <w:rFonts w:ascii="Times New Roman" w:hAnsi="Times New Roman" w:cs="Times New Roman"/>
                <w:sz w:val="24"/>
                <w:szCs w:val="24"/>
              </w:rPr>
              <w:t>ZAMELDOWANIE NA POBYT STAŁY LUB CZASOWY</w:t>
            </w:r>
          </w:p>
        </w:tc>
      </w:tr>
      <w:tr w:rsidR="0031132F" w:rsidTr="002A5868">
        <w:trPr>
          <w:trHeight w:val="4101"/>
        </w:trPr>
        <w:tc>
          <w:tcPr>
            <w:tcW w:w="10633" w:type="dxa"/>
            <w:gridSpan w:val="3"/>
          </w:tcPr>
          <w:p w:rsidR="0031132F" w:rsidRPr="00BD76AB" w:rsidRDefault="0031132F" w:rsidP="0031132F">
            <w:pPr>
              <w:spacing w:after="0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Podstawa prawna:</w:t>
            </w:r>
            <w:r w:rsidRPr="00BD76AB">
              <w:rPr>
                <w:rFonts w:ascii="Times New Roman" w:hAnsi="Times New Roman" w:cs="Times New Roman"/>
                <w:sz w:val="22"/>
                <w:u w:val="single"/>
              </w:rPr>
              <w:tab/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4"/>
              </w:numPr>
              <w:spacing w:after="159"/>
              <w:ind w:right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>Ustawa z dnia 24 września 2010r. o ewidencji ludności (tj. Dz. U. z 20</w:t>
            </w:r>
            <w:r w:rsidR="00660A71">
              <w:rPr>
                <w:rFonts w:ascii="Times New Roman" w:hAnsi="Times New Roman" w:cs="Times New Roman"/>
                <w:sz w:val="22"/>
              </w:rPr>
              <w:t>21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r., poz. </w:t>
            </w:r>
            <w:r w:rsidR="00660A71">
              <w:rPr>
                <w:rFonts w:ascii="Times New Roman" w:hAnsi="Times New Roman" w:cs="Times New Roman"/>
                <w:sz w:val="22"/>
              </w:rPr>
              <w:t>510</w:t>
            </w:r>
            <w:r w:rsidR="00E90965">
              <w:rPr>
                <w:rFonts w:ascii="Times New Roman" w:hAnsi="Times New Roman" w:cs="Times New Roman"/>
                <w:sz w:val="22"/>
              </w:rPr>
              <w:t xml:space="preserve"> ze zm.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) </w:t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4"/>
              </w:numPr>
              <w:spacing w:after="159"/>
              <w:ind w:right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>Ustawa z dnia 14 czerwca 1960r. Kodeks postępowania administracyjnego  (tj. Dz. U. z 20</w:t>
            </w:r>
            <w:r w:rsidR="00660A71">
              <w:rPr>
                <w:rFonts w:ascii="Times New Roman" w:hAnsi="Times New Roman" w:cs="Times New Roman"/>
                <w:sz w:val="22"/>
              </w:rPr>
              <w:t>21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r., poz. </w:t>
            </w:r>
            <w:r w:rsidR="00660A71">
              <w:rPr>
                <w:rFonts w:ascii="Times New Roman" w:hAnsi="Times New Roman" w:cs="Times New Roman"/>
                <w:sz w:val="22"/>
              </w:rPr>
              <w:t>735</w:t>
            </w:r>
            <w:bookmarkStart w:id="0" w:name="_GoBack"/>
            <w:bookmarkEnd w:id="0"/>
            <w:r w:rsidR="00E90965">
              <w:rPr>
                <w:rFonts w:ascii="Times New Roman" w:hAnsi="Times New Roman" w:cs="Times New Roman"/>
                <w:sz w:val="22"/>
              </w:rPr>
              <w:t xml:space="preserve"> ze zm.</w:t>
            </w:r>
            <w:r w:rsidRPr="00BD76AB">
              <w:rPr>
                <w:rFonts w:ascii="Times New Roman" w:hAnsi="Times New Roman" w:cs="Times New Roman"/>
                <w:sz w:val="22"/>
              </w:rPr>
              <w:t>)</w:t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4"/>
              </w:numPr>
              <w:spacing w:after="159"/>
              <w:ind w:right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>Rozporządzenie Ministra Spraw Wewnętrznych i Administracji z dnia 29 września 2011r. w sprawie określenia wzorów i sposobu wypełniania formularzy stosowanych przy wypełnianiu obowiązku meldunkowego (Dz. U. z 201</w:t>
            </w:r>
            <w:r w:rsidR="00E90965">
              <w:rPr>
                <w:rFonts w:ascii="Times New Roman" w:hAnsi="Times New Roman" w:cs="Times New Roman"/>
                <w:sz w:val="22"/>
              </w:rPr>
              <w:t>7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r., poz. </w:t>
            </w:r>
            <w:r w:rsidR="00E90965">
              <w:rPr>
                <w:rFonts w:ascii="Times New Roman" w:hAnsi="Times New Roman" w:cs="Times New Roman"/>
                <w:sz w:val="22"/>
              </w:rPr>
              <w:t>2411</w:t>
            </w:r>
            <w:r w:rsidRPr="00BD76AB">
              <w:rPr>
                <w:rFonts w:ascii="Times New Roman" w:hAnsi="Times New Roman" w:cs="Times New Roman"/>
                <w:sz w:val="22"/>
              </w:rPr>
              <w:t>).</w:t>
            </w:r>
            <w:r w:rsidRPr="00BD76AB">
              <w:rPr>
                <w:rFonts w:ascii="Times New Roman" w:hAnsi="Times New Roman" w:cs="Times New Roman"/>
                <w:color w:val="FF0000"/>
                <w:sz w:val="22"/>
              </w:rPr>
              <w:t xml:space="preserve"> </w:t>
            </w:r>
          </w:p>
          <w:p w:rsidR="0031132F" w:rsidRPr="00BD76AB" w:rsidRDefault="0031132F" w:rsidP="00BD76AB">
            <w:pPr>
              <w:spacing w:after="0" w:line="259" w:lineRule="auto"/>
              <w:ind w:left="-5" w:right="0"/>
              <w:jc w:val="left"/>
              <w:rPr>
                <w:rFonts w:ascii="Times New Roman" w:hAnsi="Times New Roman" w:cs="Times New Roman"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 xml:space="preserve">Wymagane dokumenty: </w:t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1"/>
              </w:numPr>
              <w:spacing w:after="326" w:line="268" w:lineRule="auto"/>
              <w:ind w:left="283" w:right="0" w:firstLine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</w:rPr>
              <w:t>Dowód osobisty lub paszport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. </w:t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1"/>
              </w:numPr>
              <w:spacing w:after="326" w:line="268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Wypełniony 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>formularz zgłoszenia pobytu stałego lub formularz zgłoszenia pobytu czasowego z potwierdzeniem pobytu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dokonanym przez właściciela lokalu lub inny podmiot dysponujący tytułem prawnym do lokalu, w którym ma nastąpić zameldowanie. Potwierdzenia pobytu dokonuje się w formie czytelnego podpisu z oznaczeniem daty jego złożenia. </w:t>
            </w:r>
          </w:p>
          <w:p w:rsidR="0031132F" w:rsidRPr="00BD76AB" w:rsidRDefault="0031132F" w:rsidP="0031132F">
            <w:pPr>
              <w:pStyle w:val="Akapitzlist"/>
              <w:numPr>
                <w:ilvl w:val="0"/>
                <w:numId w:val="1"/>
              </w:numPr>
              <w:spacing w:after="326" w:line="268" w:lineRule="auto"/>
              <w:ind w:left="709" w:right="0" w:hanging="426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Do wglądu - 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>dokument potwierdzający tytuł prawny do lokalu.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Dokumentem potwierdzającym tytuł prawny do lokalu może być umowa cywilnoprawna, wypis z księgi wieczystej, decyzja administracyjna lub orzeczenie sądu.   </w:t>
            </w:r>
          </w:p>
          <w:p w:rsidR="0031132F" w:rsidRPr="00EB2F8A" w:rsidRDefault="0031132F" w:rsidP="00BD76AB">
            <w:pPr>
              <w:spacing w:after="0" w:line="268" w:lineRule="auto"/>
              <w:ind w:left="-5" w:right="0"/>
              <w:jc w:val="left"/>
              <w:rPr>
                <w:rFonts w:ascii="Times New Roman" w:hAnsi="Times New Roman" w:cs="Times New Roman"/>
                <w:sz w:val="22"/>
              </w:rPr>
            </w:pPr>
            <w:r w:rsidRPr="00EB2F8A">
              <w:rPr>
                <w:rFonts w:ascii="Times New Roman" w:hAnsi="Times New Roman" w:cs="Times New Roman"/>
                <w:sz w:val="22"/>
              </w:rPr>
              <w:t xml:space="preserve">W przypadku zgłoszenia zameldowania przez pełnomocnika dodatkowo: </w:t>
            </w:r>
          </w:p>
          <w:p w:rsidR="0031132F" w:rsidRPr="00EB2F8A" w:rsidRDefault="0031132F" w:rsidP="0031132F">
            <w:pPr>
              <w:numPr>
                <w:ilvl w:val="0"/>
                <w:numId w:val="2"/>
              </w:numPr>
              <w:spacing w:after="41"/>
              <w:ind w:right="0" w:hanging="348"/>
              <w:rPr>
                <w:rFonts w:ascii="Times New Roman" w:hAnsi="Times New Roman" w:cs="Times New Roman"/>
                <w:sz w:val="22"/>
              </w:rPr>
            </w:pPr>
            <w:r w:rsidRPr="00EB2F8A">
              <w:rPr>
                <w:rFonts w:ascii="Times New Roman" w:hAnsi="Times New Roman" w:cs="Times New Roman"/>
                <w:sz w:val="22"/>
              </w:rPr>
              <w:t xml:space="preserve">Pisemne pełnomocnictwo, </w:t>
            </w:r>
          </w:p>
          <w:p w:rsidR="00715384" w:rsidRDefault="0031132F" w:rsidP="00BD76AB">
            <w:pPr>
              <w:numPr>
                <w:ilvl w:val="0"/>
                <w:numId w:val="2"/>
              </w:numPr>
              <w:ind w:right="0" w:hanging="348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>D</w:t>
            </w:r>
            <w:r w:rsidR="00715384">
              <w:rPr>
                <w:rFonts w:ascii="Times New Roman" w:hAnsi="Times New Roman" w:cs="Times New Roman"/>
                <w:sz w:val="22"/>
              </w:rPr>
              <w:t>okument tożsamości pełnomocnika</w:t>
            </w:r>
          </w:p>
          <w:p w:rsidR="00BD76AB" w:rsidRPr="00BD76AB" w:rsidRDefault="00715384" w:rsidP="00BD76AB">
            <w:pPr>
              <w:numPr>
                <w:ilvl w:val="0"/>
                <w:numId w:val="2"/>
              </w:numPr>
              <w:ind w:right="0" w:hanging="348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Potwierdzenie opłaty za pełnomocnictwo</w:t>
            </w:r>
            <w:r w:rsidR="0031132F" w:rsidRPr="00BD76AB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BD76AB" w:rsidRPr="00BD76AB" w:rsidRDefault="00BD76AB" w:rsidP="00BD76AB">
            <w:pPr>
              <w:ind w:left="708" w:right="0" w:firstLine="0"/>
              <w:rPr>
                <w:rFonts w:ascii="Times New Roman" w:hAnsi="Times New Roman" w:cs="Times New Roman"/>
                <w:sz w:val="22"/>
              </w:rPr>
            </w:pPr>
          </w:p>
          <w:p w:rsidR="00715384" w:rsidRDefault="00BD76AB" w:rsidP="006B2416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b/>
                <w:sz w:val="22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Opłata:</w:t>
            </w:r>
            <w:r w:rsidRPr="00BD76AB">
              <w:rPr>
                <w:rFonts w:ascii="Times New Roman" w:hAnsi="Times New Roman" w:cs="Times New Roman"/>
                <w:b/>
                <w:sz w:val="22"/>
              </w:rPr>
              <w:t xml:space="preserve"> </w:t>
            </w:r>
          </w:p>
          <w:p w:rsidR="0031132F" w:rsidRPr="00BD76AB" w:rsidRDefault="00715384" w:rsidP="006B2416">
            <w:pPr>
              <w:spacing w:after="0" w:line="336" w:lineRule="auto"/>
              <w:ind w:left="0" w:right="3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Z</w:t>
            </w:r>
            <w:r w:rsidR="00BD76AB" w:rsidRPr="00BD76AB">
              <w:rPr>
                <w:rFonts w:ascii="Times New Roman" w:hAnsi="Times New Roman" w:cs="Times New Roman"/>
                <w:sz w:val="22"/>
              </w:rPr>
              <w:t>ameldowanie – nie podlega opłacie</w:t>
            </w: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BD76AB" w:rsidRDefault="0031132F" w:rsidP="0031132F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eastAsia="Times New Roman" w:hAnsi="Times New Roman" w:cs="Times New Roman"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t>Termin i sposób załatwienia:</w:t>
            </w:r>
          </w:p>
          <w:p w:rsidR="0031132F" w:rsidRPr="00715384" w:rsidRDefault="00715384" w:rsidP="0031132F">
            <w:pPr>
              <w:tabs>
                <w:tab w:val="center" w:pos="4185"/>
              </w:tabs>
              <w:spacing w:after="21" w:line="259" w:lineRule="auto"/>
              <w:ind w:left="-15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15384">
              <w:rPr>
                <w:rFonts w:ascii="Times New Roman" w:hAnsi="Times New Roman" w:cs="Times New Roman"/>
                <w:sz w:val="22"/>
              </w:rPr>
              <w:t>Niezwłocznie w obecności wnioskodawcy. W przypadku, gdy dane w dokumentach budzą wątpliwości o zameldowaniu bądź odmowie zameldowania orzeka się przez wydanie decyzji administracyjnej.</w:t>
            </w:r>
            <w:r w:rsidR="0031132F" w:rsidRPr="00715384">
              <w:rPr>
                <w:rFonts w:ascii="Times New Roman" w:hAnsi="Times New Roman" w:cs="Times New Roman"/>
                <w:sz w:val="22"/>
              </w:rPr>
              <w:t xml:space="preserve"> </w:t>
            </w:r>
          </w:p>
          <w:p w:rsidR="00EB2F8A" w:rsidRPr="00BD76AB" w:rsidRDefault="00EB2F8A" w:rsidP="00EB2F8A">
            <w:pPr>
              <w:spacing w:after="0"/>
              <w:ind w:left="10" w:right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Zameldowania na pobyt stały lub czasowy trwający ponad 3 miesiące można dokonać </w:t>
            </w:r>
            <w:r w:rsidRPr="00BD76AB">
              <w:rPr>
                <w:rFonts w:ascii="Times New Roman" w:hAnsi="Times New Roman" w:cs="Times New Roman"/>
                <w:sz w:val="22"/>
                <w:u w:val="single" w:color="000000"/>
              </w:rPr>
              <w:t>w formie pisemnej, w organie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BD76AB">
              <w:rPr>
                <w:rFonts w:ascii="Times New Roman" w:hAnsi="Times New Roman" w:cs="Times New Roman"/>
                <w:sz w:val="22"/>
                <w:u w:val="single" w:color="000000"/>
              </w:rPr>
              <w:t>gminy właściwym ze względu na położenie nieruchomości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 w której ma nastąpić zameldowanie, osobiście lub przez pełnomocnika legitymującego się pisemnym pełnomocnictwem - udzielonym na podstawie art. 33 § 2 Kodeksu postępowania administracyjnego. </w:t>
            </w:r>
          </w:p>
          <w:p w:rsidR="00EB2F8A" w:rsidRDefault="00EB2F8A" w:rsidP="00EB2F8A">
            <w:pPr>
              <w:spacing w:after="322"/>
              <w:ind w:left="10" w:right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Zameldowanie w nowym miejscu pobytu skutkuje jednoczesnym wymeldowaniem z poprzedniego miejsca pobytu. </w:t>
            </w:r>
          </w:p>
          <w:p w:rsidR="00E90965" w:rsidRPr="00BD76AB" w:rsidRDefault="00E90965" w:rsidP="00EB2F8A">
            <w:pPr>
              <w:spacing w:after="322"/>
              <w:ind w:left="10" w:right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Obowiązek meldunkowy można dopełnić też w </w:t>
            </w:r>
            <w:r w:rsidRPr="00B463D2">
              <w:rPr>
                <w:rFonts w:ascii="Times New Roman" w:hAnsi="Times New Roman" w:cs="Times New Roman"/>
                <w:sz w:val="22"/>
                <w:u w:val="single"/>
              </w:rPr>
              <w:t>formie dokumentu elektronicznego</w:t>
            </w:r>
            <w:r>
              <w:rPr>
                <w:rFonts w:ascii="Times New Roman" w:hAnsi="Times New Roman" w:cs="Times New Roman"/>
                <w:sz w:val="22"/>
              </w:rPr>
              <w:t xml:space="preserve">, na formularzu umożliwiającym wprowadzenie danych do rejestru PESEL dołączając do formularza dokument elektroniczny potwierdzający </w:t>
            </w:r>
            <w:r w:rsidR="004215FE">
              <w:rPr>
                <w:rFonts w:ascii="Times New Roman" w:hAnsi="Times New Roman" w:cs="Times New Roman"/>
                <w:sz w:val="22"/>
              </w:rPr>
              <w:t>tytuł prawny do lokalu, a w razie niemożności jego uzyskania- odwzorowanie cyfrowe tego dokumentu, a obywatel nieposiadający tytułu prawnego do lokalu dołącza do formularza dokument elektroniczny zawierający oświadczenie  właściciela lub innego podmiotu dysponującego tytułem prawnym do lokalu potwierdzające pobyt w lokalu oraz dokument potwierdzający tytuł prawny</w:t>
            </w:r>
            <w:r w:rsidR="00AC2014">
              <w:rPr>
                <w:rFonts w:ascii="Times New Roman" w:hAnsi="Times New Roman" w:cs="Times New Roman"/>
                <w:sz w:val="22"/>
              </w:rPr>
              <w:t xml:space="preserve"> do lokalu tego właściciela lub podmiotu, a w razie niemożności ich uzyskania – odwzorowanie cyfrowe tych dokumentów.</w:t>
            </w:r>
          </w:p>
          <w:p w:rsidR="00BD76AB" w:rsidRDefault="00BD76AB" w:rsidP="00EB2F8A">
            <w:pPr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BD76AB" w:rsidRDefault="00BD76AB" w:rsidP="00BD76AB">
            <w:pPr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BD76AB">
              <w:rPr>
                <w:rFonts w:ascii="Times New Roman" w:hAnsi="Times New Roman" w:cs="Times New Roman"/>
                <w:b/>
                <w:sz w:val="22"/>
                <w:u w:val="single"/>
              </w:rPr>
              <w:lastRenderedPageBreak/>
              <w:t>Miejsce złożenia dokumentów: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BD76AB">
              <w:rPr>
                <w:rFonts w:ascii="Times New Roman" w:hAnsi="Times New Roman" w:cs="Times New Roman"/>
                <w:sz w:val="22"/>
              </w:rPr>
              <w:t xml:space="preserve">Urząd Miejski w Urzędowie, ewidencja ludności i dowodów osobistych, ul. Rynek 26, 23-250 Urzędów, pok. </w:t>
            </w:r>
            <w:r>
              <w:rPr>
                <w:rFonts w:ascii="Times New Roman" w:hAnsi="Times New Roman" w:cs="Times New Roman"/>
                <w:sz w:val="22"/>
              </w:rPr>
              <w:t xml:space="preserve">Nr </w:t>
            </w:r>
            <w:r w:rsidRPr="00BD76AB">
              <w:rPr>
                <w:rFonts w:ascii="Times New Roman" w:hAnsi="Times New Roman" w:cs="Times New Roman"/>
                <w:sz w:val="22"/>
              </w:rPr>
              <w:t>2,</w:t>
            </w:r>
            <w:r w:rsidRPr="00BD76AB">
              <w:rPr>
                <w:rFonts w:ascii="Times New Roman" w:hAnsi="Times New Roman" w:cs="Times New Roman"/>
                <w:sz w:val="22"/>
              </w:rPr>
              <w:br/>
              <w:t xml:space="preserve"> tel. 81 82 25</w:t>
            </w:r>
            <w:r>
              <w:rPr>
                <w:rFonts w:ascii="Times New Roman" w:hAnsi="Times New Roman" w:cs="Times New Roman"/>
                <w:sz w:val="22"/>
              </w:rPr>
              <w:t> </w:t>
            </w:r>
            <w:r w:rsidRPr="00BD76AB">
              <w:rPr>
                <w:rFonts w:ascii="Times New Roman" w:hAnsi="Times New Roman" w:cs="Times New Roman"/>
                <w:sz w:val="22"/>
              </w:rPr>
              <w:t xml:space="preserve">052 </w:t>
            </w:r>
          </w:p>
          <w:p w:rsidR="00BD76AB" w:rsidRDefault="00BD76AB" w:rsidP="00BD76AB">
            <w:pPr>
              <w:tabs>
                <w:tab w:val="center" w:pos="3240"/>
                <w:tab w:val="center" w:pos="4702"/>
              </w:tabs>
              <w:spacing w:after="39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Tryb odwoławczy:</w:t>
            </w:r>
            <w:r w:rsidRPr="002A5868">
              <w:rPr>
                <w:rFonts w:ascii="Times New Roman" w:hAnsi="Times New Roman" w:cs="Times New Roman"/>
                <w:sz w:val="22"/>
                <w:u w:val="single"/>
              </w:rPr>
              <w:t xml:space="preserve"> </w:t>
            </w:r>
          </w:p>
          <w:p w:rsidR="00BD76AB" w:rsidRDefault="00715384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Brak</w:t>
            </w:r>
          </w:p>
          <w:p w:rsidR="002A5868" w:rsidRDefault="002A5868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715384" w:rsidRPr="002A5868" w:rsidRDefault="00715384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</w:p>
          <w:p w:rsidR="00BD76AB" w:rsidRPr="002A5868" w:rsidRDefault="00BD76AB" w:rsidP="00BD76AB">
            <w:pPr>
              <w:spacing w:after="35"/>
              <w:ind w:left="0" w:right="0" w:firstLine="0"/>
              <w:rPr>
                <w:rFonts w:ascii="Times New Roman" w:hAnsi="Times New Roman" w:cs="Times New Roman"/>
                <w:b/>
                <w:sz w:val="22"/>
                <w:u w:val="single"/>
              </w:rPr>
            </w:pPr>
            <w:r w:rsidRPr="002A5868">
              <w:rPr>
                <w:rFonts w:ascii="Times New Roman" w:hAnsi="Times New Roman" w:cs="Times New Roman"/>
                <w:b/>
                <w:sz w:val="22"/>
                <w:u w:val="single"/>
              </w:rPr>
              <w:t>Uwagi:</w:t>
            </w:r>
          </w:p>
          <w:p w:rsidR="002A5868" w:rsidRDefault="00715384" w:rsidP="00715384">
            <w:pPr>
              <w:spacing w:after="0" w:line="240" w:lineRule="auto"/>
              <w:ind w:left="0" w:right="0" w:firstLine="0"/>
              <w:jc w:val="left"/>
              <w:rPr>
                <w:rFonts w:ascii="Times New Roman" w:hAnsi="Times New Roman" w:cs="Times New Roman"/>
                <w:sz w:val="22"/>
              </w:rPr>
            </w:pPr>
            <w:r w:rsidRPr="00715384">
              <w:rPr>
                <w:rFonts w:ascii="Times New Roman" w:hAnsi="Times New Roman" w:cs="Times New Roman"/>
                <w:sz w:val="22"/>
              </w:rPr>
              <w:t>Zameldowania się w miejscu pobytu stałego można dopełnić przez pełnomocnika, legitymującego się pełnomocnictwem udzielonym w formie pisemnej, po okazaniu przez pełnomocnika do wglądu jego do</w:t>
            </w:r>
            <w:r>
              <w:rPr>
                <w:rFonts w:ascii="Times New Roman" w:hAnsi="Times New Roman" w:cs="Times New Roman"/>
                <w:sz w:val="22"/>
              </w:rPr>
              <w:t xml:space="preserve">wodu osobistego lub paszportu. </w:t>
            </w:r>
            <w:r w:rsidRPr="00715384">
              <w:rPr>
                <w:rFonts w:ascii="Times New Roman" w:hAnsi="Times New Roman" w:cs="Times New Roman"/>
                <w:sz w:val="22"/>
              </w:rPr>
              <w:br/>
              <w:t>Osoba dopełniająca obowiązku zameldowania na pobyt stały otrzymuje z urzędu zaświadczenie o zameldowaniu na pobyt stały, ważne do chwili zmiany miejsca zameldowania</w:t>
            </w:r>
            <w:r>
              <w:rPr>
                <w:rFonts w:ascii="Times New Roman" w:hAnsi="Times New Roman" w:cs="Times New Roman"/>
                <w:sz w:val="22"/>
              </w:rPr>
              <w:t xml:space="preserve">. </w:t>
            </w:r>
            <w:r w:rsidR="00BD76AB" w:rsidRPr="00715384">
              <w:rPr>
                <w:rFonts w:ascii="Times New Roman" w:hAnsi="Times New Roman" w:cs="Times New Roman"/>
                <w:sz w:val="22"/>
              </w:rPr>
              <w:t>Osoba</w:t>
            </w:r>
            <w:r w:rsidR="00BD76AB" w:rsidRPr="002A5868">
              <w:rPr>
                <w:rFonts w:ascii="Times New Roman" w:hAnsi="Times New Roman" w:cs="Times New Roman"/>
                <w:sz w:val="22"/>
              </w:rPr>
              <w:t>, która przebywa na terytorium Rzeczypospolitej Polskiej jest obowiązana zameldować się w miejscu pobytu stałego lub</w:t>
            </w:r>
            <w:r w:rsidR="002A5868">
              <w:rPr>
                <w:rFonts w:ascii="Times New Roman" w:hAnsi="Times New Roman" w:cs="Times New Roman"/>
                <w:sz w:val="22"/>
              </w:rPr>
              <w:t xml:space="preserve"> czasowego trwającego </w:t>
            </w:r>
            <w:r w:rsidR="00BD76AB" w:rsidRPr="002A5868">
              <w:rPr>
                <w:rFonts w:ascii="Times New Roman" w:hAnsi="Times New Roman" w:cs="Times New Roman"/>
                <w:sz w:val="22"/>
              </w:rPr>
              <w:t xml:space="preserve">ponad 3 miesiące najpóźniej w 30 dniu, licząc od dnia przybycia do tego miejsca. </w:t>
            </w:r>
            <w:r w:rsidR="00D162CE">
              <w:rPr>
                <w:rFonts w:ascii="Times New Roman" w:hAnsi="Times New Roman" w:cs="Times New Roman"/>
                <w:sz w:val="22"/>
              </w:rPr>
              <w:t>Cudzoziemcy są zwolnieni z obowiązku meldunkowego, jeżeli okres ich pobytu na terytorium Rzeczypospolitej Polskiej nie przekracza 30 dni.</w:t>
            </w:r>
            <w:r w:rsidR="00BD76AB" w:rsidRPr="002A5868">
              <w:rPr>
                <w:rFonts w:ascii="Times New Roman" w:hAnsi="Times New Roman" w:cs="Times New Roman"/>
                <w:sz w:val="22"/>
              </w:rPr>
              <w:t xml:space="preserve"> Zameldowanie w lokalu służy wyłącznie celom ewidencyjnym i ma na celu potwierdzenie faktu pobytu osoby w miejscu, w którym się zameldowała. </w:t>
            </w:r>
          </w:p>
          <w:p w:rsidR="0031132F" w:rsidRPr="002A5868" w:rsidRDefault="00BD76AB" w:rsidP="002A5868">
            <w:pPr>
              <w:spacing w:after="0" w:line="325" w:lineRule="auto"/>
              <w:ind w:left="0" w:right="0" w:firstLine="0"/>
              <w:rPr>
                <w:rFonts w:ascii="Times New Roman" w:hAnsi="Times New Roman" w:cs="Times New Roman"/>
                <w:sz w:val="22"/>
              </w:rPr>
            </w:pPr>
            <w:r w:rsidRPr="002A5868">
              <w:rPr>
                <w:rFonts w:ascii="Times New Roman" w:hAnsi="Times New Roman" w:cs="Times New Roman"/>
                <w:sz w:val="22"/>
              </w:rPr>
              <w:t xml:space="preserve">Równocześnie można mieć jedno miejsce pobytu stałego </w:t>
            </w:r>
            <w:r w:rsidR="002A5868">
              <w:rPr>
                <w:rFonts w:ascii="Times New Roman" w:hAnsi="Times New Roman" w:cs="Times New Roman"/>
                <w:sz w:val="22"/>
              </w:rPr>
              <w:t>i jedno miejsce pobytu czasowego.</w:t>
            </w:r>
          </w:p>
        </w:tc>
      </w:tr>
    </w:tbl>
    <w:p w:rsidR="00130397" w:rsidRDefault="00130397" w:rsidP="002A5868">
      <w:pPr>
        <w:spacing w:after="56" w:line="259" w:lineRule="auto"/>
        <w:ind w:left="0" w:right="0" w:firstLine="0"/>
        <w:jc w:val="left"/>
      </w:pPr>
    </w:p>
    <w:sectPr w:rsidR="00130397" w:rsidSect="007F6A28">
      <w:pgSz w:w="11906" w:h="16838"/>
      <w:pgMar w:top="755" w:right="564" w:bottom="715" w:left="56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293922"/>
    <w:multiLevelType w:val="hybridMultilevel"/>
    <w:tmpl w:val="165656CA"/>
    <w:lvl w:ilvl="0" w:tplc="0C209CB2">
      <w:start w:val="1"/>
      <w:numFmt w:val="bullet"/>
      <w:lvlText w:val="-"/>
      <w:lvlJc w:val="left"/>
      <w:pPr>
        <w:ind w:left="9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BE28B92A">
      <w:start w:val="1"/>
      <w:numFmt w:val="bullet"/>
      <w:lvlText w:val="o"/>
      <w:lvlJc w:val="left"/>
      <w:pPr>
        <w:ind w:left="59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33500390">
      <w:start w:val="1"/>
      <w:numFmt w:val="bullet"/>
      <w:lvlText w:val="▪"/>
      <w:lvlJc w:val="left"/>
      <w:pPr>
        <w:ind w:left="66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25E4F616">
      <w:start w:val="1"/>
      <w:numFmt w:val="bullet"/>
      <w:lvlText w:val="•"/>
      <w:lvlJc w:val="left"/>
      <w:pPr>
        <w:ind w:left="73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628C037C">
      <w:start w:val="1"/>
      <w:numFmt w:val="bullet"/>
      <w:lvlText w:val="o"/>
      <w:lvlJc w:val="left"/>
      <w:pPr>
        <w:ind w:left="810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F8F093D8">
      <w:start w:val="1"/>
      <w:numFmt w:val="bullet"/>
      <w:lvlText w:val="▪"/>
      <w:lvlJc w:val="left"/>
      <w:pPr>
        <w:ind w:left="882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5AE0C080">
      <w:start w:val="1"/>
      <w:numFmt w:val="bullet"/>
      <w:lvlText w:val="•"/>
      <w:lvlJc w:val="left"/>
      <w:pPr>
        <w:ind w:left="954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78DAB822">
      <w:start w:val="1"/>
      <w:numFmt w:val="bullet"/>
      <w:lvlText w:val="o"/>
      <w:lvlJc w:val="left"/>
      <w:pPr>
        <w:ind w:left="1026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8B6400F8">
      <w:start w:val="1"/>
      <w:numFmt w:val="bullet"/>
      <w:lvlText w:val="▪"/>
      <w:lvlJc w:val="left"/>
      <w:pPr>
        <w:ind w:left="10988"/>
      </w:pPr>
      <w:rPr>
        <w:rFonts w:ascii="Arial" w:eastAsia="Arial" w:hAnsi="Arial" w:cs="Arial"/>
        <w:b w:val="0"/>
        <w:i/>
        <w:iCs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AC90B6A"/>
    <w:multiLevelType w:val="hybridMultilevel"/>
    <w:tmpl w:val="29F2859A"/>
    <w:lvl w:ilvl="0" w:tplc="D66CA69C">
      <w:start w:val="1"/>
      <w:numFmt w:val="decimal"/>
      <w:lvlText w:val="%1.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FA4D1C">
      <w:start w:val="1"/>
      <w:numFmt w:val="decimal"/>
      <w:lvlText w:val="%2."/>
      <w:lvlJc w:val="left"/>
      <w:pPr>
        <w:ind w:left="38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02AC450">
      <w:start w:val="1"/>
      <w:numFmt w:val="lowerRoman"/>
      <w:lvlText w:val="%3"/>
      <w:lvlJc w:val="left"/>
      <w:pPr>
        <w:ind w:left="46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42ADC0">
      <w:start w:val="1"/>
      <w:numFmt w:val="decimal"/>
      <w:lvlText w:val="%4"/>
      <w:lvlJc w:val="left"/>
      <w:pPr>
        <w:ind w:left="53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8D22296">
      <w:start w:val="1"/>
      <w:numFmt w:val="lowerLetter"/>
      <w:lvlText w:val="%5"/>
      <w:lvlJc w:val="left"/>
      <w:pPr>
        <w:ind w:left="61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EFAB27A">
      <w:start w:val="1"/>
      <w:numFmt w:val="lowerRoman"/>
      <w:lvlText w:val="%6"/>
      <w:lvlJc w:val="left"/>
      <w:pPr>
        <w:ind w:left="68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AA0FA32">
      <w:start w:val="1"/>
      <w:numFmt w:val="decimal"/>
      <w:lvlText w:val="%7"/>
      <w:lvlJc w:val="left"/>
      <w:pPr>
        <w:ind w:left="75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94486E">
      <w:start w:val="1"/>
      <w:numFmt w:val="lowerLetter"/>
      <w:lvlText w:val="%8"/>
      <w:lvlJc w:val="left"/>
      <w:pPr>
        <w:ind w:left="82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887984">
      <w:start w:val="1"/>
      <w:numFmt w:val="lowerRoman"/>
      <w:lvlText w:val="%9"/>
      <w:lvlJc w:val="left"/>
      <w:pPr>
        <w:ind w:left="89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52441E3"/>
    <w:multiLevelType w:val="hybridMultilevel"/>
    <w:tmpl w:val="B740BE52"/>
    <w:lvl w:ilvl="0" w:tplc="04150005">
      <w:start w:val="1"/>
      <w:numFmt w:val="bullet"/>
      <w:lvlText w:val=""/>
      <w:lvlJc w:val="left"/>
      <w:pPr>
        <w:ind w:left="71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abstractNum w:abstractNumId="3" w15:restartNumberingAfterBreak="0">
    <w:nsid w:val="7E0F62D3"/>
    <w:multiLevelType w:val="hybridMultilevel"/>
    <w:tmpl w:val="F0627820"/>
    <w:lvl w:ilvl="0" w:tplc="07D8232C">
      <w:start w:val="1"/>
      <w:numFmt w:val="decimal"/>
      <w:lvlText w:val="%1."/>
      <w:lvlJc w:val="left"/>
      <w:pPr>
        <w:ind w:left="35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F84378">
      <w:start w:val="1"/>
      <w:numFmt w:val="lowerLetter"/>
      <w:lvlText w:val="%2"/>
      <w:lvlJc w:val="left"/>
      <w:pPr>
        <w:ind w:left="42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8ABB44">
      <w:start w:val="1"/>
      <w:numFmt w:val="lowerRoman"/>
      <w:lvlText w:val="%3"/>
      <w:lvlJc w:val="left"/>
      <w:pPr>
        <w:ind w:left="49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2EC53E2">
      <w:start w:val="1"/>
      <w:numFmt w:val="decimal"/>
      <w:lvlText w:val="%4"/>
      <w:lvlJc w:val="left"/>
      <w:pPr>
        <w:ind w:left="57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FBC6E74">
      <w:start w:val="1"/>
      <w:numFmt w:val="lowerLetter"/>
      <w:lvlText w:val="%5"/>
      <w:lvlJc w:val="left"/>
      <w:pPr>
        <w:ind w:left="64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0584060">
      <w:start w:val="1"/>
      <w:numFmt w:val="lowerRoman"/>
      <w:lvlText w:val="%6"/>
      <w:lvlJc w:val="left"/>
      <w:pPr>
        <w:ind w:left="71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92492D2">
      <w:start w:val="1"/>
      <w:numFmt w:val="decimal"/>
      <w:lvlText w:val="%7"/>
      <w:lvlJc w:val="left"/>
      <w:pPr>
        <w:ind w:left="78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8B64EC8">
      <w:start w:val="1"/>
      <w:numFmt w:val="lowerLetter"/>
      <w:lvlText w:val="%8"/>
      <w:lvlJc w:val="left"/>
      <w:pPr>
        <w:ind w:left="85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8BCCDB2">
      <w:start w:val="1"/>
      <w:numFmt w:val="lowerRoman"/>
      <w:lvlText w:val="%9"/>
      <w:lvlJc w:val="left"/>
      <w:pPr>
        <w:ind w:left="93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0397"/>
    <w:rsid w:val="00130397"/>
    <w:rsid w:val="001B22C6"/>
    <w:rsid w:val="002A5868"/>
    <w:rsid w:val="0031132F"/>
    <w:rsid w:val="004215FE"/>
    <w:rsid w:val="00660A71"/>
    <w:rsid w:val="006B2416"/>
    <w:rsid w:val="00715384"/>
    <w:rsid w:val="007F6A28"/>
    <w:rsid w:val="008721DF"/>
    <w:rsid w:val="008E7F95"/>
    <w:rsid w:val="009263B8"/>
    <w:rsid w:val="00AC2014"/>
    <w:rsid w:val="00B463D2"/>
    <w:rsid w:val="00B50FEB"/>
    <w:rsid w:val="00BD76AB"/>
    <w:rsid w:val="00D162CE"/>
    <w:rsid w:val="00E71FAF"/>
    <w:rsid w:val="00E90965"/>
    <w:rsid w:val="00EB2F8A"/>
    <w:rsid w:val="00FD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D1190"/>
  <w15:docId w15:val="{81A24EF9-9E38-4B7B-95E5-050D4F09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2" w:line="269" w:lineRule="auto"/>
      <w:ind w:left="3207" w:right="5" w:hanging="10"/>
      <w:jc w:val="both"/>
    </w:pPr>
    <w:rPr>
      <w:rFonts w:ascii="Arial" w:eastAsia="Arial" w:hAnsi="Arial" w:cs="Arial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89"/>
      <w:ind w:left="2160"/>
      <w:outlineLvl w:val="0"/>
    </w:pPr>
    <w:rPr>
      <w:rFonts w:ascii="Arial" w:eastAsia="Arial" w:hAnsi="Arial" w:cs="Arial"/>
      <w:b/>
      <w:color w:val="0000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6"/>
    </w:rPr>
  </w:style>
  <w:style w:type="paragraph" w:styleId="Akapitzlist">
    <w:name w:val="List Paragraph"/>
    <w:basedOn w:val="Normalny"/>
    <w:uiPriority w:val="34"/>
    <w:qFormat/>
    <w:rsid w:val="00B50FE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50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50FEB"/>
    <w:rPr>
      <w:rFonts w:ascii="Tahoma" w:eastAsia="Arial" w:hAnsi="Tahoma" w:cs="Tahoma"/>
      <w:color w:val="000000"/>
      <w:sz w:val="16"/>
      <w:szCs w:val="16"/>
    </w:rPr>
  </w:style>
  <w:style w:type="table" w:styleId="Tabela-Siatka">
    <w:name w:val="Table Grid"/>
    <w:basedOn w:val="Standardowy"/>
    <w:uiPriority w:val="39"/>
    <w:rsid w:val="007F6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566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REKOMPENSATA DLA ŻOŁNIERZY REZERWY</vt:lpstr>
    </vt:vector>
  </TitlesOfParts>
  <Company/>
  <LinksUpToDate>false</LinksUpToDate>
  <CharactersWithSpaces>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REKOMPENSATA DLA ŻOŁNIERZY REZERWY</dc:title>
  <dc:subject/>
  <dc:creator>Bartosz Dmochowski</dc:creator>
  <cp:keywords/>
  <cp:lastModifiedBy>pracownik99</cp:lastModifiedBy>
  <cp:revision>8</cp:revision>
  <cp:lastPrinted>2017-11-03T10:33:00Z</cp:lastPrinted>
  <dcterms:created xsi:type="dcterms:W3CDTF">2017-11-07T18:59:00Z</dcterms:created>
  <dcterms:modified xsi:type="dcterms:W3CDTF">2021-07-05T09:44:00Z</dcterms:modified>
</cp:coreProperties>
</file>